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9" w:rsidRPr="00C060D3" w:rsidRDefault="004D5679" w:rsidP="00EB6AC6">
      <w:pPr>
        <w:tabs>
          <w:tab w:val="left" w:pos="1152"/>
        </w:tabs>
        <w:autoSpaceDE w:val="0"/>
        <w:autoSpaceDN w:val="0"/>
        <w:adjustRightInd w:val="0"/>
        <w:spacing w:line="276" w:lineRule="auto"/>
        <w:jc w:val="right"/>
        <w:rPr>
          <w:noProof/>
          <w:lang w:val="sr-Latn-CS"/>
        </w:rPr>
      </w:pPr>
    </w:p>
    <w:p w:rsidR="00B8728B" w:rsidRPr="00C060D3" w:rsidRDefault="004D5679" w:rsidP="00EB6AC6">
      <w:pPr>
        <w:pStyle w:val="NormalWeb"/>
        <w:spacing w:before="0" w:after="0" w:line="276" w:lineRule="auto"/>
        <w:jc w:val="both"/>
        <w:rPr>
          <w:noProof/>
          <w:lang w:val="sr-Latn-CS"/>
        </w:rPr>
      </w:pPr>
      <w:r w:rsidRPr="00C060D3">
        <w:rPr>
          <w:noProof/>
          <w:lang w:val="sr-Latn-CS"/>
        </w:rPr>
        <w:t xml:space="preserve">          </w:t>
      </w:r>
    </w:p>
    <w:p w:rsidR="001C09CF" w:rsidRPr="00C060D3" w:rsidRDefault="001C09CF" w:rsidP="001C09CF">
      <w:pPr>
        <w:spacing w:line="276" w:lineRule="auto"/>
        <w:rPr>
          <w:noProof/>
          <w:u w:val="single"/>
          <w:lang w:val="sr-Latn-CS"/>
        </w:rPr>
      </w:pPr>
      <w:bookmarkStart w:id="0" w:name="_GoBack"/>
      <w:bookmarkEnd w:id="0"/>
    </w:p>
    <w:p w:rsidR="001C09CF" w:rsidRPr="00C060D3" w:rsidRDefault="001C09CF" w:rsidP="001C09CF">
      <w:pPr>
        <w:spacing w:line="276" w:lineRule="auto"/>
        <w:jc w:val="center"/>
        <w:rPr>
          <w:noProof/>
          <w:lang w:val="sr-Latn-CS"/>
        </w:rPr>
      </w:pPr>
    </w:p>
    <w:p w:rsidR="001C09CF" w:rsidRPr="00C060D3" w:rsidRDefault="001C09CF" w:rsidP="00EB6AC6">
      <w:pPr>
        <w:pStyle w:val="NormalWeb"/>
        <w:spacing w:before="0" w:after="0" w:line="276" w:lineRule="auto"/>
        <w:ind w:firstLine="720"/>
        <w:jc w:val="both"/>
        <w:rPr>
          <w:noProof/>
          <w:lang w:val="sr-Latn-CS"/>
        </w:rPr>
      </w:pPr>
    </w:p>
    <w:p w:rsidR="004D5679" w:rsidRPr="00C060D3" w:rsidRDefault="00C060D3" w:rsidP="00EB6AC6">
      <w:pPr>
        <w:pStyle w:val="NormalWeb"/>
        <w:spacing w:before="0" w:after="0" w:line="276" w:lineRule="auto"/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Na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5679" w:rsidRPr="00C060D3">
        <w:rPr>
          <w:noProof/>
          <w:lang w:val="sr-Latn-CS"/>
        </w:rPr>
        <w:t xml:space="preserve"> </w:t>
      </w:r>
      <w:r w:rsidR="00AE1F68" w:rsidRPr="00C060D3">
        <w:rPr>
          <w:noProof/>
          <w:lang w:val="sr-Latn-CS"/>
        </w:rPr>
        <w:t>75</w:t>
      </w:r>
      <w:r w:rsidR="004D5679" w:rsidRPr="00C060D3">
        <w:rPr>
          <w:noProof/>
          <w:lang w:val="sr-Latn-CS"/>
        </w:rPr>
        <w:t xml:space="preserve">. </w:t>
      </w:r>
      <w:r>
        <w:rPr>
          <w:noProof/>
          <w:lang w:val="sr-Latn-CS"/>
        </w:rPr>
        <w:t>stav</w:t>
      </w:r>
      <w:r w:rsidR="004D5679" w:rsidRPr="00C060D3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ugostiteljstvu</w:t>
      </w:r>
      <w:r w:rsidR="004D5679" w:rsidRPr="00C060D3">
        <w:rPr>
          <w:noProof/>
          <w:lang w:val="sr-Latn-CS"/>
        </w:rPr>
        <w:t xml:space="preserve"> </w:t>
      </w:r>
      <w:r w:rsidR="00814B8C" w:rsidRPr="00C060D3">
        <w:rPr>
          <w:bCs/>
          <w:noProof/>
          <w:lang w:val="sr-Latn-CS"/>
        </w:rPr>
        <w:t>(„</w:t>
      </w:r>
      <w:r>
        <w:rPr>
          <w:bCs/>
          <w:noProof/>
          <w:lang w:val="sr-Latn-CS"/>
        </w:rPr>
        <w:t>Službeni</w:t>
      </w:r>
      <w:r w:rsidR="00814B8C" w:rsidRPr="00C060D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814B8C" w:rsidRPr="00C060D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814B8C" w:rsidRPr="00C060D3">
        <w:rPr>
          <w:bCs/>
          <w:noProof/>
          <w:lang w:val="sr-Latn-CS"/>
        </w:rPr>
        <w:t xml:space="preserve">ˮ, </w:t>
      </w:r>
      <w:r>
        <w:rPr>
          <w:bCs/>
          <w:noProof/>
          <w:lang w:val="sr-Latn-CS"/>
        </w:rPr>
        <w:t>broj</w:t>
      </w:r>
      <w:r w:rsidR="004D5679" w:rsidRPr="00C060D3">
        <w:rPr>
          <w:bCs/>
          <w:noProof/>
          <w:lang w:val="sr-Latn-CS"/>
        </w:rPr>
        <w:t xml:space="preserve"> </w:t>
      </w:r>
      <w:r w:rsidR="00AE1F68" w:rsidRPr="00C060D3">
        <w:rPr>
          <w:bCs/>
          <w:noProof/>
          <w:lang w:val="sr-Latn-CS"/>
        </w:rPr>
        <w:t>17</w:t>
      </w:r>
      <w:r w:rsidR="003330A7" w:rsidRPr="00C060D3">
        <w:rPr>
          <w:bCs/>
          <w:noProof/>
          <w:lang w:val="sr-Latn-CS"/>
        </w:rPr>
        <w:t>/</w:t>
      </w:r>
      <w:r w:rsidR="00AE1F68" w:rsidRPr="00C060D3">
        <w:rPr>
          <w:bCs/>
          <w:noProof/>
          <w:lang w:val="sr-Latn-CS"/>
        </w:rPr>
        <w:t>19</w:t>
      </w:r>
      <w:r w:rsidR="004D5679" w:rsidRPr="00C060D3">
        <w:rPr>
          <w:bCs/>
          <w:noProof/>
          <w:lang w:val="sr-Latn-CS"/>
        </w:rPr>
        <w:t>)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D5679" w:rsidRPr="00C060D3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4D5679" w:rsidRPr="00C060D3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D5679" w:rsidRPr="00C060D3">
        <w:rPr>
          <w:noProof/>
          <w:lang w:val="sr-Latn-CS"/>
        </w:rPr>
        <w:t xml:space="preserve"> </w:t>
      </w:r>
      <w:r w:rsidR="00814B8C" w:rsidRPr="00C060D3">
        <w:rPr>
          <w:bCs/>
          <w:noProof/>
          <w:lang w:val="sr-Latn-CS"/>
        </w:rPr>
        <w:t>(„</w:t>
      </w:r>
      <w:r>
        <w:rPr>
          <w:bCs/>
          <w:noProof/>
          <w:lang w:val="sr-Latn-CS"/>
        </w:rPr>
        <w:t>Službeni</w:t>
      </w:r>
      <w:r w:rsidR="00814B8C" w:rsidRPr="00C060D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glasnik</w:t>
      </w:r>
      <w:r w:rsidR="00814B8C" w:rsidRPr="00C060D3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RS</w:t>
      </w:r>
      <w:r w:rsidR="00814B8C" w:rsidRPr="00C060D3">
        <w:rPr>
          <w:bCs/>
          <w:noProof/>
          <w:lang w:val="sr-Latn-CS"/>
        </w:rPr>
        <w:t xml:space="preserve">”, </w:t>
      </w:r>
      <w:r>
        <w:rPr>
          <w:bCs/>
          <w:noProof/>
          <w:lang w:val="sr-Latn-CS"/>
        </w:rPr>
        <w:t>br</w:t>
      </w:r>
      <w:r w:rsidR="00814B8C" w:rsidRPr="00C060D3">
        <w:rPr>
          <w:bCs/>
          <w:noProof/>
          <w:lang w:val="sr-Latn-CS"/>
        </w:rPr>
        <w:t xml:space="preserve">. 55/05, 71/05 - </w:t>
      </w:r>
      <w:r>
        <w:rPr>
          <w:bCs/>
          <w:noProof/>
          <w:lang w:val="sr-Latn-CS"/>
        </w:rPr>
        <w:t>ispravka</w:t>
      </w:r>
      <w:r w:rsidR="00814B8C" w:rsidRPr="00C060D3">
        <w:rPr>
          <w:bCs/>
          <w:noProof/>
          <w:lang w:val="sr-Latn-CS"/>
        </w:rPr>
        <w:t xml:space="preserve">, 101/07, 65/08, 16/11, 68/12 - </w:t>
      </w:r>
      <w:r>
        <w:rPr>
          <w:bCs/>
          <w:noProof/>
          <w:lang w:val="sr-Latn-CS"/>
        </w:rPr>
        <w:t>US</w:t>
      </w:r>
      <w:r w:rsidR="00814B8C" w:rsidRPr="00C060D3">
        <w:rPr>
          <w:bCs/>
          <w:noProof/>
          <w:lang w:val="sr-Latn-CS"/>
        </w:rPr>
        <w:t>, 72/</w:t>
      </w:r>
      <w:r w:rsidR="00B560C7" w:rsidRPr="00C060D3">
        <w:rPr>
          <w:bCs/>
          <w:noProof/>
          <w:lang w:val="sr-Latn-CS"/>
        </w:rPr>
        <w:t xml:space="preserve">12, </w:t>
      </w:r>
      <w:r w:rsidR="007E0BE8" w:rsidRPr="00C060D3">
        <w:rPr>
          <w:bCs/>
          <w:noProof/>
          <w:lang w:val="sr-Latn-CS"/>
        </w:rPr>
        <w:t>7/</w:t>
      </w:r>
      <w:r w:rsidR="00814B8C" w:rsidRPr="00C060D3">
        <w:rPr>
          <w:bCs/>
          <w:noProof/>
          <w:lang w:val="sr-Latn-CS"/>
        </w:rPr>
        <w:t xml:space="preserve">14 - </w:t>
      </w:r>
      <w:r>
        <w:rPr>
          <w:bCs/>
          <w:noProof/>
          <w:lang w:val="sr-Latn-CS"/>
        </w:rPr>
        <w:t>US</w:t>
      </w:r>
      <w:r w:rsidR="00814B8C" w:rsidRPr="00C060D3">
        <w:rPr>
          <w:bCs/>
          <w:noProof/>
          <w:lang w:val="sr-Latn-CS"/>
        </w:rPr>
        <w:t xml:space="preserve">, 44/14 </w:t>
      </w:r>
      <w:r>
        <w:rPr>
          <w:bCs/>
          <w:noProof/>
          <w:lang w:val="sr-Latn-CS"/>
        </w:rPr>
        <w:t>i</w:t>
      </w:r>
      <w:r w:rsidR="00814B8C" w:rsidRPr="00C060D3">
        <w:rPr>
          <w:bCs/>
          <w:noProof/>
          <w:lang w:val="sr-Latn-CS"/>
        </w:rPr>
        <w:t xml:space="preserve"> 30/</w:t>
      </w:r>
      <w:r w:rsidR="00B560C7" w:rsidRPr="00C060D3">
        <w:rPr>
          <w:bCs/>
          <w:noProof/>
          <w:lang w:val="sr-Latn-CS"/>
        </w:rPr>
        <w:t xml:space="preserve">18 - </w:t>
      </w:r>
      <w:r>
        <w:rPr>
          <w:bCs/>
          <w:noProof/>
          <w:lang w:val="sr-Latn-CS"/>
        </w:rPr>
        <w:t>dr</w:t>
      </w:r>
      <w:r w:rsidR="00B560C7" w:rsidRPr="00C060D3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zakon</w:t>
      </w:r>
      <w:r w:rsidR="00B560C7" w:rsidRPr="00C060D3">
        <w:rPr>
          <w:bCs/>
          <w:noProof/>
          <w:lang w:val="sr-Latn-CS"/>
        </w:rPr>
        <w:t>)</w:t>
      </w:r>
      <w:r w:rsidR="004D5679" w:rsidRPr="00C060D3">
        <w:rPr>
          <w:bCs/>
          <w:noProof/>
          <w:lang w:val="sr-Latn-CS"/>
        </w:rPr>
        <w:t>,</w:t>
      </w:r>
    </w:p>
    <w:p w:rsidR="004D5679" w:rsidRPr="00C060D3" w:rsidRDefault="004D5679" w:rsidP="00EB6AC6">
      <w:pPr>
        <w:pStyle w:val="NormalWeb"/>
        <w:spacing w:before="0" w:after="0" w:line="276" w:lineRule="auto"/>
        <w:jc w:val="both"/>
        <w:rPr>
          <w:bCs/>
          <w:noProof/>
          <w:lang w:val="sr-Latn-CS"/>
        </w:rPr>
      </w:pPr>
    </w:p>
    <w:p w:rsidR="004D5679" w:rsidRPr="00C060D3" w:rsidRDefault="004D5679" w:rsidP="00814B8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rPr>
          <w:bCs/>
          <w:noProof/>
          <w:lang w:val="sr-Latn-CS"/>
        </w:rPr>
      </w:pPr>
      <w:r w:rsidRPr="00C060D3">
        <w:rPr>
          <w:bCs/>
          <w:noProof/>
          <w:lang w:val="sr-Latn-CS"/>
        </w:rPr>
        <w:t xml:space="preserve">          </w:t>
      </w:r>
      <w:r w:rsidR="00C060D3">
        <w:rPr>
          <w:bCs/>
          <w:noProof/>
          <w:lang w:val="sr-Latn-CS"/>
        </w:rPr>
        <w:t>Vlada</w:t>
      </w:r>
      <w:r w:rsidRPr="00C060D3">
        <w:rPr>
          <w:bCs/>
          <w:noProof/>
          <w:lang w:val="sr-Latn-CS"/>
        </w:rPr>
        <w:t xml:space="preserve"> </w:t>
      </w:r>
      <w:r w:rsidR="00C060D3">
        <w:rPr>
          <w:bCs/>
          <w:noProof/>
          <w:lang w:val="sr-Latn-CS"/>
        </w:rPr>
        <w:t>donosi</w:t>
      </w:r>
    </w:p>
    <w:p w:rsidR="004D5679" w:rsidRPr="00C060D3" w:rsidRDefault="004D5679" w:rsidP="00EB6AC6">
      <w:pPr>
        <w:spacing w:line="276" w:lineRule="auto"/>
        <w:rPr>
          <w:noProof/>
          <w:lang w:val="sr-Latn-CS"/>
        </w:rPr>
      </w:pPr>
    </w:p>
    <w:p w:rsidR="00DB373F" w:rsidRPr="00C060D3" w:rsidRDefault="00C060D3" w:rsidP="00EB6AC6">
      <w:pPr>
        <w:spacing w:line="276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UREDBU</w:t>
      </w:r>
    </w:p>
    <w:p w:rsidR="00AE1F68" w:rsidRPr="00C060D3" w:rsidRDefault="0062507F" w:rsidP="00EB6AC6">
      <w:pPr>
        <w:spacing w:line="276" w:lineRule="auto"/>
        <w:jc w:val="center"/>
        <w:rPr>
          <w:noProof/>
          <w:lang w:val="sr-Latn-CS"/>
        </w:rPr>
      </w:pPr>
      <w:r w:rsidRPr="00C060D3">
        <w:rPr>
          <w:noProof/>
          <w:lang w:val="sr-Latn-CS"/>
        </w:rPr>
        <w:t xml:space="preserve">O </w:t>
      </w:r>
      <w:r w:rsidR="00C060D3">
        <w:rPr>
          <w:noProof/>
          <w:lang w:val="sr-Latn-CS"/>
        </w:rPr>
        <w:t>USLOVIMA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NAČINU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UTVRĐIVANJA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VISINE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GODIŠNJEG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IZNOSA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BORAVIŠNE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TAKSE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ZA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FIZIČKO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LICE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KOJE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PRUŽA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UGOSTITELJSKE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USLUGE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SMEŠTAJA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OBJEKTIMA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DOMAĆE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RADINOSTI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SEOSKOM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TURISTIČKOM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DOMAĆINSTVU</w:t>
      </w:r>
      <w:r w:rsidRPr="00C060D3">
        <w:rPr>
          <w:noProof/>
          <w:lang w:val="sr-Latn-CS"/>
        </w:rPr>
        <w:t xml:space="preserve">, </w:t>
      </w:r>
      <w:r w:rsidR="00C060D3">
        <w:rPr>
          <w:noProof/>
          <w:lang w:val="sr-Latn-CS"/>
        </w:rPr>
        <w:t>KAO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NAČIN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ROKOVI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PLAĆANJA</w:t>
      </w:r>
    </w:p>
    <w:p w:rsidR="00862797" w:rsidRPr="00C060D3" w:rsidRDefault="00862797" w:rsidP="00EB6AC6">
      <w:pPr>
        <w:spacing w:line="276" w:lineRule="auto"/>
        <w:jc w:val="center"/>
        <w:rPr>
          <w:noProof/>
          <w:lang w:val="sr-Latn-CS"/>
        </w:rPr>
      </w:pPr>
    </w:p>
    <w:p w:rsidR="0062507F" w:rsidRPr="00C060D3" w:rsidRDefault="0062507F" w:rsidP="00EB6AC6">
      <w:pPr>
        <w:spacing w:line="276" w:lineRule="auto"/>
        <w:rPr>
          <w:noProof/>
          <w:lang w:val="sr-Latn-CS"/>
        </w:rPr>
      </w:pPr>
    </w:p>
    <w:p w:rsidR="004D5679" w:rsidRPr="00C060D3" w:rsidRDefault="00C060D3" w:rsidP="00EB6AC6">
      <w:pPr>
        <w:spacing w:line="276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D5679" w:rsidRPr="00C060D3">
        <w:rPr>
          <w:noProof/>
          <w:lang w:val="sr-Latn-CS"/>
        </w:rPr>
        <w:t xml:space="preserve"> 1.</w:t>
      </w:r>
    </w:p>
    <w:p w:rsidR="00AE1F68" w:rsidRPr="00C060D3" w:rsidRDefault="004D5679" w:rsidP="00EB6AC6">
      <w:pPr>
        <w:spacing w:line="276" w:lineRule="auto"/>
        <w:jc w:val="both"/>
        <w:rPr>
          <w:noProof/>
          <w:lang w:val="sr-Latn-CS"/>
        </w:rPr>
      </w:pPr>
      <w:r w:rsidRPr="00C060D3">
        <w:rPr>
          <w:noProof/>
          <w:lang w:val="sr-Latn-CS"/>
        </w:rPr>
        <w:t xml:space="preserve">           </w:t>
      </w:r>
      <w:r w:rsidR="00C060D3">
        <w:rPr>
          <w:noProof/>
          <w:lang w:val="sr-Latn-CS"/>
        </w:rPr>
        <w:t>Ovom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uredbom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bliže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se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propisuju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uslovi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način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utvrđivanja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visine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godišnjeg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iznosa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boravišne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takse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za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fizičko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lice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koje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pruža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ugostiteljske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usluge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smeštaja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objektima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domaće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radinosti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seoskom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turističkom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domaćinstvu</w:t>
      </w:r>
      <w:r w:rsidR="00AE1F68" w:rsidRPr="00C060D3">
        <w:rPr>
          <w:noProof/>
          <w:lang w:val="sr-Latn-CS"/>
        </w:rPr>
        <w:t xml:space="preserve">, </w:t>
      </w:r>
      <w:r w:rsidR="00C060D3">
        <w:rPr>
          <w:noProof/>
          <w:lang w:val="sr-Latn-CS"/>
        </w:rPr>
        <w:t>kao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način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i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rokovi</w:t>
      </w:r>
      <w:r w:rsidR="00AE1F68"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plaćanja</w:t>
      </w:r>
      <w:r w:rsidR="00AE1F68" w:rsidRPr="00C060D3">
        <w:rPr>
          <w:noProof/>
          <w:lang w:val="sr-Latn-CS"/>
        </w:rPr>
        <w:t>.</w:t>
      </w:r>
    </w:p>
    <w:p w:rsidR="00AE1F68" w:rsidRPr="00C060D3" w:rsidRDefault="00AE1F68" w:rsidP="00EB6AC6">
      <w:pPr>
        <w:spacing w:line="276" w:lineRule="auto"/>
        <w:jc w:val="both"/>
        <w:rPr>
          <w:noProof/>
          <w:lang w:val="sr-Latn-CS"/>
        </w:rPr>
      </w:pPr>
    </w:p>
    <w:p w:rsidR="00AE1F68" w:rsidRPr="00C060D3" w:rsidRDefault="00C060D3" w:rsidP="00EB6AC6">
      <w:pPr>
        <w:spacing w:line="276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E1F68" w:rsidRPr="00C060D3">
        <w:rPr>
          <w:noProof/>
          <w:lang w:val="sr-Latn-CS"/>
        </w:rPr>
        <w:t xml:space="preserve"> 2.</w:t>
      </w:r>
    </w:p>
    <w:p w:rsidR="00B802EC" w:rsidRPr="00C060D3" w:rsidRDefault="00C060D3" w:rsidP="00EB6AC6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Obveznik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82598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82598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82598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82598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23596D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kategorizaciji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3596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radinosti</w:t>
      </w:r>
      <w:r w:rsidR="00AE1F68" w:rsidRPr="00C060D3">
        <w:rPr>
          <w:noProof/>
          <w:lang w:val="sr-Latn-CS"/>
        </w:rPr>
        <w:t xml:space="preserve"> </w:t>
      </w:r>
      <w:r w:rsidR="00DB373F" w:rsidRPr="00C060D3">
        <w:rPr>
          <w:noProof/>
          <w:lang w:val="sr-Latn-CS"/>
        </w:rPr>
        <w:t>(</w:t>
      </w:r>
      <w:r>
        <w:rPr>
          <w:noProof/>
          <w:lang w:val="sr-Latn-CS"/>
        </w:rPr>
        <w:t>kuća</w:t>
      </w:r>
      <w:r w:rsidR="00DB373F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apartman</w:t>
      </w:r>
      <w:r w:rsidR="00DB373F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B373F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soba</w:t>
      </w:r>
      <w:r w:rsidR="00DB373F" w:rsidRPr="00C060D3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seoskom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turističkom</w:t>
      </w:r>
      <w:r w:rsidR="00AE1F6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domaćinstvu</w:t>
      </w:r>
      <w:r w:rsidR="00CD12D3" w:rsidRPr="00C060D3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D12D3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D12D3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D12D3" w:rsidRPr="00C060D3">
        <w:rPr>
          <w:noProof/>
          <w:lang w:val="sr-Latn-CS"/>
        </w:rPr>
        <w:t xml:space="preserve">: </w:t>
      </w:r>
      <w:r>
        <w:rPr>
          <w:noProof/>
          <w:lang w:val="sr-Latn-CS"/>
        </w:rPr>
        <w:t>fizičko</w:t>
      </w:r>
      <w:r w:rsidR="00CD12D3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CD12D3" w:rsidRPr="00C060D3">
        <w:rPr>
          <w:noProof/>
          <w:lang w:val="sr-Latn-CS"/>
        </w:rPr>
        <w:t>)</w:t>
      </w:r>
      <w:r w:rsidR="00AE1F68" w:rsidRPr="00C060D3">
        <w:rPr>
          <w:noProof/>
          <w:lang w:val="sr-Latn-CS"/>
        </w:rPr>
        <w:t>.</w:t>
      </w:r>
    </w:p>
    <w:p w:rsidR="00B802EC" w:rsidRPr="00C060D3" w:rsidRDefault="00C060D3" w:rsidP="00EB6AC6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Fizičko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lice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pruža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ugostiteljske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usluge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</w:t>
      </w:r>
      <w:r w:rsidR="00B802EC" w:rsidRPr="00C060D3">
        <w:rPr>
          <w:noProof/>
          <w:color w:val="000000"/>
          <w:lang w:val="sr-Latn-CS"/>
        </w:rPr>
        <w:t xml:space="preserve">a 1. </w:t>
      </w:r>
      <w:r>
        <w:rPr>
          <w:noProof/>
          <w:color w:val="000000"/>
          <w:lang w:val="sr-Latn-CS"/>
        </w:rPr>
        <w:t>ovog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objektima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smeštajnih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kapaciteta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ukupno</w:t>
      </w:r>
      <w:r w:rsidR="0063021D" w:rsidRPr="00C060D3">
        <w:rPr>
          <w:noProof/>
          <w:color w:val="000000"/>
          <w:lang w:val="sr-Latn-CS"/>
        </w:rPr>
        <w:t xml:space="preserve"> </w:t>
      </w:r>
      <w:r w:rsidR="00B802EC" w:rsidRPr="00C060D3">
        <w:rPr>
          <w:noProof/>
          <w:color w:val="000000"/>
          <w:lang w:val="sr-Latn-CS"/>
        </w:rPr>
        <w:t xml:space="preserve">30 </w:t>
      </w:r>
      <w:r>
        <w:rPr>
          <w:noProof/>
          <w:color w:val="000000"/>
          <w:lang w:val="sr-Latn-CS"/>
        </w:rPr>
        <w:t>individualnih</w:t>
      </w:r>
      <w:r w:rsidR="00B802E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ležaja</w:t>
      </w:r>
      <w:r w:rsidR="00B802EC" w:rsidRPr="00C060D3">
        <w:rPr>
          <w:noProof/>
          <w:color w:val="000000"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B802E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B802E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B802E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802E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B802E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ugostiteljstvo</w:t>
      </w:r>
      <w:r w:rsidR="00B802EC" w:rsidRPr="00C060D3">
        <w:rPr>
          <w:noProof/>
          <w:lang w:val="sr-Latn-CS"/>
        </w:rPr>
        <w:t>.</w:t>
      </w:r>
    </w:p>
    <w:p w:rsidR="00CC6759" w:rsidRPr="00C060D3" w:rsidRDefault="00C060D3" w:rsidP="00EB6AC6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color w:val="000000"/>
          <w:lang w:val="sr-Latn-CS"/>
        </w:rPr>
        <w:t>Fizičko</w:t>
      </w:r>
      <w:r w:rsidR="00841CB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lice</w:t>
      </w:r>
      <w:r w:rsidR="00841CB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841CBC" w:rsidRPr="00C060D3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u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seoskog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841CB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pruža</w:t>
      </w:r>
      <w:r w:rsidR="00841CBC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841CBC" w:rsidRPr="00C060D3">
        <w:rPr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ugostiteljske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otvorenom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postavljenoj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opremi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kampovanje</w:t>
      </w:r>
      <w:r w:rsidR="00841CBC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63021D" w:rsidRPr="00C060D3">
        <w:rPr>
          <w:noProof/>
          <w:lang w:val="sr-Latn-CS"/>
        </w:rPr>
        <w:t xml:space="preserve"> </w:t>
      </w:r>
      <w:r w:rsidR="00841CBC" w:rsidRPr="00C060D3">
        <w:rPr>
          <w:noProof/>
          <w:lang w:val="sr-Latn-CS"/>
        </w:rPr>
        <w:t xml:space="preserve">20 </w:t>
      </w:r>
      <w:r>
        <w:rPr>
          <w:noProof/>
          <w:lang w:val="sr-Latn-CS"/>
        </w:rPr>
        <w:t>kamp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841CBC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saglasno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841CBC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ugostiteljstvo</w:t>
      </w:r>
      <w:r w:rsidR="00841CBC" w:rsidRPr="00C060D3">
        <w:rPr>
          <w:noProof/>
          <w:lang w:val="sr-Latn-CS"/>
        </w:rPr>
        <w:t>.</w:t>
      </w:r>
    </w:p>
    <w:p w:rsidR="00CC6759" w:rsidRPr="00C060D3" w:rsidRDefault="00CC6759" w:rsidP="00EB6AC6">
      <w:pPr>
        <w:spacing w:line="276" w:lineRule="auto"/>
        <w:jc w:val="both"/>
        <w:rPr>
          <w:noProof/>
          <w:lang w:val="sr-Latn-CS"/>
        </w:rPr>
      </w:pPr>
    </w:p>
    <w:p w:rsidR="0063021D" w:rsidRPr="00C060D3" w:rsidRDefault="00C060D3" w:rsidP="00EB6AC6">
      <w:pPr>
        <w:spacing w:line="276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A535A" w:rsidRPr="00C060D3">
        <w:rPr>
          <w:noProof/>
          <w:lang w:val="sr-Latn-CS"/>
        </w:rPr>
        <w:t xml:space="preserve"> </w:t>
      </w:r>
      <w:r w:rsidR="0023596D" w:rsidRPr="00C060D3">
        <w:rPr>
          <w:noProof/>
          <w:lang w:val="sr-Latn-CS"/>
        </w:rPr>
        <w:t>3</w:t>
      </w:r>
      <w:r w:rsidR="005A694E" w:rsidRPr="00C060D3">
        <w:rPr>
          <w:noProof/>
          <w:lang w:val="sr-Latn-CS"/>
        </w:rPr>
        <w:t>.</w:t>
      </w:r>
    </w:p>
    <w:p w:rsidR="0063021D" w:rsidRPr="00C060D3" w:rsidRDefault="00C060D3" w:rsidP="0063021D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Visina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individualnih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ležaja</w:t>
      </w:r>
      <w:r w:rsidR="0063021D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kamp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3021D" w:rsidRPr="00C060D3">
        <w:rPr>
          <w:noProof/>
          <w:lang w:val="sr-Latn-CS"/>
        </w:rPr>
        <w:t xml:space="preserve"> 2. </w:t>
      </w:r>
      <w:r>
        <w:rPr>
          <w:noProof/>
          <w:lang w:val="sr-Latn-CS"/>
        </w:rPr>
        <w:t>ove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63021D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množi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iznosom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individualnom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ležaju</w:t>
      </w:r>
      <w:r w:rsidR="0063021D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kamp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63021D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3021D" w:rsidRPr="00C060D3">
        <w:rPr>
          <w:noProof/>
          <w:lang w:val="sr-Latn-CS"/>
        </w:rPr>
        <w:t xml:space="preserve">: </w:t>
      </w:r>
    </w:p>
    <w:p w:rsidR="0063021D" w:rsidRPr="00C060D3" w:rsidRDefault="0063021D" w:rsidP="0063021D">
      <w:pPr>
        <w:pStyle w:val="NormalWeb"/>
        <w:numPr>
          <w:ilvl w:val="0"/>
          <w:numId w:val="1"/>
        </w:numPr>
        <w:spacing w:before="0" w:after="0" w:line="276" w:lineRule="auto"/>
        <w:jc w:val="both"/>
        <w:textAlignment w:val="baseline"/>
        <w:rPr>
          <w:noProof/>
          <w:lang w:val="sr-Latn-CS"/>
        </w:rPr>
      </w:pPr>
      <w:r w:rsidRPr="00C060D3">
        <w:rPr>
          <w:noProof/>
          <w:lang w:val="sr-Latn-CS"/>
        </w:rPr>
        <w:t xml:space="preserve">I </w:t>
      </w:r>
      <w:r w:rsidR="00C060D3">
        <w:rPr>
          <w:noProof/>
          <w:lang w:val="sr-Latn-CS"/>
        </w:rPr>
        <w:t>kategorija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turističkog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mesta</w:t>
      </w:r>
      <w:r w:rsidRPr="00C060D3">
        <w:rPr>
          <w:noProof/>
          <w:lang w:val="sr-Latn-CS"/>
        </w:rPr>
        <w:t xml:space="preserve"> – 3.300,00 </w:t>
      </w:r>
      <w:r w:rsidR="00C060D3">
        <w:rPr>
          <w:noProof/>
          <w:lang w:val="sr-Latn-CS"/>
        </w:rPr>
        <w:t>dinara</w:t>
      </w:r>
      <w:r w:rsidRPr="00C060D3">
        <w:rPr>
          <w:noProof/>
          <w:lang w:val="sr-Latn-CS"/>
        </w:rPr>
        <w:t>;</w:t>
      </w:r>
    </w:p>
    <w:p w:rsidR="0063021D" w:rsidRPr="00C060D3" w:rsidRDefault="0063021D" w:rsidP="0063021D">
      <w:pPr>
        <w:pStyle w:val="NormalWeb"/>
        <w:numPr>
          <w:ilvl w:val="0"/>
          <w:numId w:val="1"/>
        </w:numPr>
        <w:spacing w:before="0" w:after="0" w:line="276" w:lineRule="auto"/>
        <w:jc w:val="both"/>
        <w:textAlignment w:val="baseline"/>
        <w:rPr>
          <w:noProof/>
          <w:lang w:val="sr-Latn-CS"/>
        </w:rPr>
      </w:pPr>
      <w:r w:rsidRPr="00C060D3">
        <w:rPr>
          <w:noProof/>
          <w:lang w:val="sr-Latn-CS"/>
        </w:rPr>
        <w:t xml:space="preserve">II </w:t>
      </w:r>
      <w:r w:rsidR="00C060D3">
        <w:rPr>
          <w:noProof/>
          <w:lang w:val="sr-Latn-CS"/>
        </w:rPr>
        <w:t>kategorija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turističkog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mesta</w:t>
      </w:r>
      <w:r w:rsidRPr="00C060D3">
        <w:rPr>
          <w:noProof/>
          <w:lang w:val="sr-Latn-CS"/>
        </w:rPr>
        <w:t xml:space="preserve"> – 2.600,00 </w:t>
      </w:r>
      <w:r w:rsidR="00C060D3">
        <w:rPr>
          <w:noProof/>
          <w:lang w:val="sr-Latn-CS"/>
        </w:rPr>
        <w:t>dinara</w:t>
      </w:r>
      <w:r w:rsidRPr="00C060D3">
        <w:rPr>
          <w:noProof/>
          <w:lang w:val="sr-Latn-CS"/>
        </w:rPr>
        <w:t>;</w:t>
      </w:r>
    </w:p>
    <w:p w:rsidR="0063021D" w:rsidRPr="00C060D3" w:rsidRDefault="0063021D" w:rsidP="0063021D">
      <w:pPr>
        <w:pStyle w:val="NormalWeb"/>
        <w:numPr>
          <w:ilvl w:val="0"/>
          <w:numId w:val="1"/>
        </w:numPr>
        <w:spacing w:before="0" w:after="0" w:line="276" w:lineRule="auto"/>
        <w:jc w:val="both"/>
        <w:textAlignment w:val="baseline"/>
        <w:rPr>
          <w:noProof/>
          <w:lang w:val="sr-Latn-CS"/>
        </w:rPr>
      </w:pPr>
      <w:r w:rsidRPr="00C060D3">
        <w:rPr>
          <w:noProof/>
          <w:lang w:val="sr-Latn-CS"/>
        </w:rPr>
        <w:t xml:space="preserve">III </w:t>
      </w:r>
      <w:r w:rsidR="00C060D3">
        <w:rPr>
          <w:noProof/>
          <w:lang w:val="sr-Latn-CS"/>
        </w:rPr>
        <w:t>kategorija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turističkog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mesta</w:t>
      </w:r>
      <w:r w:rsidRPr="00C060D3">
        <w:rPr>
          <w:noProof/>
          <w:lang w:val="sr-Latn-CS"/>
        </w:rPr>
        <w:t xml:space="preserve"> – 2.000,00 </w:t>
      </w:r>
      <w:r w:rsidR="00C060D3">
        <w:rPr>
          <w:noProof/>
          <w:lang w:val="sr-Latn-CS"/>
        </w:rPr>
        <w:t>dinara</w:t>
      </w:r>
      <w:r w:rsidRPr="00C060D3">
        <w:rPr>
          <w:noProof/>
          <w:lang w:val="sr-Latn-CS"/>
        </w:rPr>
        <w:t>;</w:t>
      </w:r>
    </w:p>
    <w:p w:rsidR="0063021D" w:rsidRPr="00C060D3" w:rsidRDefault="0063021D" w:rsidP="0063021D">
      <w:pPr>
        <w:pStyle w:val="NormalWeb"/>
        <w:numPr>
          <w:ilvl w:val="0"/>
          <w:numId w:val="1"/>
        </w:numPr>
        <w:spacing w:before="0" w:after="0" w:line="276" w:lineRule="auto"/>
        <w:jc w:val="both"/>
        <w:textAlignment w:val="baseline"/>
        <w:rPr>
          <w:noProof/>
          <w:lang w:val="sr-Latn-CS"/>
        </w:rPr>
      </w:pPr>
      <w:r w:rsidRPr="00C060D3">
        <w:rPr>
          <w:noProof/>
          <w:lang w:val="sr-Latn-CS"/>
        </w:rPr>
        <w:lastRenderedPageBreak/>
        <w:t xml:space="preserve">IV </w:t>
      </w:r>
      <w:r w:rsidR="00C060D3">
        <w:rPr>
          <w:noProof/>
          <w:lang w:val="sr-Latn-CS"/>
        </w:rPr>
        <w:t>kategorija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turističkog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mesta</w:t>
      </w:r>
      <w:r w:rsidRPr="00C060D3">
        <w:rPr>
          <w:noProof/>
          <w:lang w:val="sr-Latn-CS"/>
        </w:rPr>
        <w:t xml:space="preserve"> – 1.300,00 </w:t>
      </w:r>
      <w:r w:rsidR="00C060D3">
        <w:rPr>
          <w:noProof/>
          <w:lang w:val="sr-Latn-CS"/>
        </w:rPr>
        <w:t>dinara</w:t>
      </w:r>
      <w:r w:rsidRPr="00C060D3">
        <w:rPr>
          <w:noProof/>
          <w:lang w:val="sr-Latn-CS"/>
        </w:rPr>
        <w:t>.</w:t>
      </w:r>
    </w:p>
    <w:p w:rsidR="0063021D" w:rsidRPr="00C060D3" w:rsidRDefault="00C060D3" w:rsidP="0063021D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/>
        </w:rPr>
      </w:pPr>
      <w:r>
        <w:rPr>
          <w:noProof/>
          <w:lang w:val="sr-Latn-CS"/>
        </w:rPr>
        <w:t>Ako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63021D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individualnih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ležaja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kamp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množi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iznosom</w:t>
      </w:r>
      <w:r w:rsidR="0063021D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3021D" w:rsidRPr="00C060D3">
        <w:rPr>
          <w:noProof/>
          <w:lang w:val="sr-Latn-CS"/>
        </w:rPr>
        <w:t xml:space="preserve"> 1.000,00 </w:t>
      </w:r>
      <w:r>
        <w:rPr>
          <w:noProof/>
          <w:lang w:val="sr-Latn-CS"/>
        </w:rPr>
        <w:t>dinara</w:t>
      </w:r>
      <w:r w:rsidR="0063021D" w:rsidRPr="00C060D3">
        <w:rPr>
          <w:noProof/>
          <w:lang w:val="sr-Latn-CS"/>
        </w:rPr>
        <w:t>.</w:t>
      </w:r>
    </w:p>
    <w:p w:rsidR="009551D7" w:rsidRPr="00C060D3" w:rsidRDefault="009551D7" w:rsidP="001E1678">
      <w:pPr>
        <w:spacing w:line="276" w:lineRule="auto"/>
        <w:jc w:val="both"/>
        <w:rPr>
          <w:noProof/>
          <w:lang w:val="sr-Latn-CS"/>
        </w:rPr>
      </w:pPr>
    </w:p>
    <w:p w:rsidR="005A694E" w:rsidRPr="00C060D3" w:rsidRDefault="00C060D3" w:rsidP="00EB6AC6">
      <w:pPr>
        <w:pStyle w:val="NormalWeb"/>
        <w:spacing w:before="0" w:after="0" w:line="276" w:lineRule="auto"/>
        <w:jc w:val="center"/>
        <w:textAlignment w:val="baseline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A694E" w:rsidRPr="00C060D3">
        <w:rPr>
          <w:noProof/>
          <w:lang w:val="sr-Latn-CS"/>
        </w:rPr>
        <w:t xml:space="preserve"> </w:t>
      </w:r>
      <w:r w:rsidR="0023596D" w:rsidRPr="00C060D3">
        <w:rPr>
          <w:noProof/>
          <w:lang w:val="sr-Latn-CS"/>
        </w:rPr>
        <w:t>4</w:t>
      </w:r>
      <w:r w:rsidR="005A694E" w:rsidRPr="00C060D3">
        <w:rPr>
          <w:noProof/>
          <w:lang w:val="sr-Latn-CS"/>
        </w:rPr>
        <w:t>.</w:t>
      </w:r>
    </w:p>
    <w:p w:rsidR="001E1678" w:rsidRPr="00C060D3" w:rsidRDefault="00C060D3" w:rsidP="001E1678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  <w:r>
        <w:rPr>
          <w:noProof/>
          <w:lang w:val="sr-Latn-CS" w:eastAsia="en-US"/>
        </w:rPr>
        <w:t>Ukoliko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toku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godine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promene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elementi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/>
        </w:rPr>
        <w:t>utvrđivanje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1E1678" w:rsidRPr="00C060D3">
        <w:rPr>
          <w:noProof/>
          <w:lang w:val="sr-Latn-CS"/>
        </w:rPr>
        <w:t>,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nadležni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organ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dužan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ponovo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1E1678" w:rsidRPr="00C060D3">
        <w:rPr>
          <w:noProof/>
          <w:lang w:val="sr-Latn-CS"/>
        </w:rPr>
        <w:t>.</w:t>
      </w:r>
    </w:p>
    <w:p w:rsidR="001E1678" w:rsidRPr="00C060D3" w:rsidRDefault="00C060D3" w:rsidP="001E1678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  <w:r>
        <w:rPr>
          <w:noProof/>
          <w:lang w:val="sr-Latn-CS" w:eastAsia="en-US"/>
        </w:rPr>
        <w:t>Fizičko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lice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toku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godine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prestane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pruža</w:t>
      </w:r>
      <w:r w:rsidR="008729CC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ugostiteljske</w:t>
      </w:r>
      <w:r w:rsidR="008729CC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usluge</w:t>
      </w:r>
      <w:r w:rsidR="008729CC" w:rsidRPr="00C060D3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dužno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tome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obavesti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nadležni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organ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roku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1E1678" w:rsidRPr="00C060D3">
        <w:rPr>
          <w:noProof/>
          <w:lang w:val="sr-Latn-CS" w:eastAsia="en-US"/>
        </w:rPr>
        <w:t xml:space="preserve"> 15 </w:t>
      </w:r>
      <w:r>
        <w:rPr>
          <w:noProof/>
          <w:lang w:val="sr-Latn-CS" w:eastAsia="en-US"/>
        </w:rPr>
        <w:t>dana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dana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prestanka</w:t>
      </w:r>
      <w:r w:rsidR="001E1678" w:rsidRPr="00C060D3">
        <w:rPr>
          <w:noProof/>
          <w:lang w:val="sr-Latn-CS" w:eastAsia="en-US"/>
        </w:rPr>
        <w:t xml:space="preserve">  </w:t>
      </w:r>
      <w:r>
        <w:rPr>
          <w:noProof/>
          <w:lang w:val="sr-Latn-CS" w:eastAsia="en-US"/>
        </w:rPr>
        <w:t>pružanja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ugostiteljske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usluge</w:t>
      </w:r>
      <w:r w:rsidR="001E1678" w:rsidRPr="00C060D3">
        <w:rPr>
          <w:noProof/>
          <w:lang w:val="sr-Latn-CS" w:eastAsia="en-US"/>
        </w:rPr>
        <w:t>.</w:t>
      </w:r>
    </w:p>
    <w:p w:rsidR="001E1678" w:rsidRPr="00C060D3" w:rsidRDefault="00C060D3" w:rsidP="001E1678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/>
        </w:rPr>
      </w:pPr>
      <w:r>
        <w:rPr>
          <w:noProof/>
          <w:lang w:val="sr-Latn-CS" w:eastAsia="en-US"/>
        </w:rPr>
        <w:t>Ukoliko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fizičko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lice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poseduje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više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ugostiteljskih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objekata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koji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nalaze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teritorijama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različitih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jedinica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lokalnih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samouprava</w:t>
      </w:r>
      <w:r w:rsidR="001E1678" w:rsidRPr="00C060D3">
        <w:rPr>
          <w:noProof/>
          <w:lang w:val="sr-Latn-CS" w:eastAsia="en-US"/>
        </w:rPr>
        <w:t>,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nadležni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organ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na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čijoj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se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teritoriji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objekti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nalaze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zasebno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1E1678" w:rsidRPr="00C060D3">
        <w:rPr>
          <w:noProof/>
          <w:lang w:val="sr-Latn-CS"/>
        </w:rPr>
        <w:t>.</w:t>
      </w:r>
    </w:p>
    <w:p w:rsidR="001E1678" w:rsidRPr="00C060D3" w:rsidRDefault="001E1678" w:rsidP="001E1678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/>
        </w:rPr>
      </w:pPr>
    </w:p>
    <w:p w:rsidR="001E1678" w:rsidRPr="00C060D3" w:rsidRDefault="00C060D3" w:rsidP="001E1678">
      <w:pPr>
        <w:pStyle w:val="NormalWeb"/>
        <w:spacing w:before="0" w:after="0" w:line="276" w:lineRule="auto"/>
        <w:jc w:val="center"/>
        <w:textAlignment w:val="baseline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E1678" w:rsidRPr="00C060D3">
        <w:rPr>
          <w:noProof/>
          <w:lang w:val="sr-Latn-CS"/>
        </w:rPr>
        <w:t xml:space="preserve"> 5.</w:t>
      </w:r>
    </w:p>
    <w:p w:rsidR="000E7409" w:rsidRPr="00C060D3" w:rsidRDefault="00C060D3" w:rsidP="000E7409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  <w:r>
        <w:rPr>
          <w:noProof/>
          <w:lang w:val="sr-Latn-CS" w:eastAsia="en-US"/>
        </w:rPr>
        <w:t>Organ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jedinice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lokalne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samouprave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nadležan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shd w:val="clear" w:color="auto" w:fill="FFFFFF"/>
          <w:lang w:val="sr-Latn-CS"/>
        </w:rPr>
        <w:t>za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poslove</w:t>
      </w:r>
      <w:r w:rsidR="001E1678" w:rsidRPr="00C060D3">
        <w:rPr>
          <w:noProof/>
          <w:shd w:val="clear" w:color="auto" w:fill="FFFFFF"/>
          <w:lang w:val="sr-Latn-CS"/>
        </w:rPr>
        <w:t xml:space="preserve"> </w:t>
      </w:r>
      <w:r>
        <w:rPr>
          <w:noProof/>
          <w:shd w:val="clear" w:color="auto" w:fill="FFFFFF"/>
          <w:lang w:val="sr-Latn-CS"/>
        </w:rPr>
        <w:t>kategorizacije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ugostiteljskog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objekta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(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daljem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tekstu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: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nadležni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organ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),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na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čijoj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teritoriji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se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ugostiteljski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objekat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nalazi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, </w:t>
      </w:r>
      <w:r>
        <w:rPr>
          <w:noProof/>
          <w:lang w:val="sr-Latn-CS" w:eastAsia="en-US"/>
        </w:rPr>
        <w:t>dužan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svako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fizičko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lice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/>
        </w:rPr>
        <w:t>utvrdi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1E167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1E1678" w:rsidRPr="00C060D3">
        <w:rPr>
          <w:noProof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roku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od</w:t>
      </w:r>
      <w:r w:rsidR="001E1678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 w:rsidR="001E1678" w:rsidRPr="00C060D3">
        <w:rPr>
          <w:noProof/>
          <w:lang w:val="sr-Latn-CS" w:eastAsia="en-US"/>
        </w:rPr>
        <w:t xml:space="preserve">15 </w:t>
      </w:r>
      <w:r>
        <w:rPr>
          <w:noProof/>
          <w:lang w:val="sr-Latn-CS" w:eastAsia="en-US"/>
        </w:rPr>
        <w:t>dana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dana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pravnosnažnosti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rešenja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</w:t>
      </w:r>
      <w:r w:rsidR="001E167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kategorizaciji</w:t>
      </w:r>
      <w:r w:rsidR="001E1678" w:rsidRPr="00C060D3">
        <w:rPr>
          <w:noProof/>
          <w:lang w:val="sr-Latn-CS" w:eastAsia="en-US"/>
        </w:rPr>
        <w:t>.</w:t>
      </w:r>
    </w:p>
    <w:p w:rsidR="000E7409" w:rsidRPr="00C060D3" w:rsidRDefault="000E7409" w:rsidP="001E1678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</w:p>
    <w:p w:rsidR="001E1678" w:rsidRPr="00C060D3" w:rsidRDefault="00C060D3" w:rsidP="000E7409">
      <w:pPr>
        <w:pStyle w:val="NormalWeb"/>
        <w:spacing w:before="0" w:after="0" w:line="276" w:lineRule="auto"/>
        <w:ind w:left="3960"/>
        <w:textAlignment w:val="baseline"/>
        <w:rPr>
          <w:noProof/>
          <w:shd w:val="clear" w:color="auto" w:fill="FFFFFF"/>
          <w:lang w:val="sr-Latn-CS"/>
        </w:rPr>
      </w:pPr>
      <w:r>
        <w:rPr>
          <w:noProof/>
          <w:shd w:val="clear" w:color="auto" w:fill="FFFFFF"/>
          <w:lang w:val="sr-Latn-CS"/>
        </w:rPr>
        <w:t>Član</w:t>
      </w:r>
      <w:r w:rsidR="001E1678" w:rsidRPr="00C060D3">
        <w:rPr>
          <w:noProof/>
          <w:shd w:val="clear" w:color="auto" w:fill="FFFFFF"/>
          <w:lang w:val="sr-Latn-CS"/>
        </w:rPr>
        <w:t xml:space="preserve"> 6.</w:t>
      </w:r>
    </w:p>
    <w:p w:rsidR="000E7409" w:rsidRPr="00C060D3" w:rsidRDefault="00C060D3" w:rsidP="000E740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Podatke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uplatnom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računu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pozivu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0E7409" w:rsidRPr="00C060D3">
        <w:rPr>
          <w:noProof/>
          <w:lang w:val="sr-Latn-CS"/>
        </w:rPr>
        <w:t xml:space="preserve">,  </w:t>
      </w:r>
      <w:r>
        <w:rPr>
          <w:noProof/>
          <w:lang w:val="sr-Latn-CS"/>
        </w:rPr>
        <w:t>fizičko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dobija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0E7409" w:rsidRPr="00C060D3">
        <w:rPr>
          <w:noProof/>
          <w:lang w:val="sr-Latn-CS"/>
        </w:rPr>
        <w:t xml:space="preserve">. </w:t>
      </w:r>
    </w:p>
    <w:p w:rsidR="000E7409" w:rsidRPr="00C060D3" w:rsidRDefault="00C060D3" w:rsidP="000E740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Utvrđenu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tekuću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fizičko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kvartalno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color w:val="000000"/>
          <w:lang w:val="sr-Latn-CS"/>
        </w:rPr>
        <w:t>do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petog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mesecu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prethodni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kvartal</w:t>
      </w:r>
      <w:r w:rsidR="000E7409" w:rsidRPr="00C060D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uplatom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korist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budžeta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jedinice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lokalne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samouprave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čijoj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teritoriji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ugostiteljski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objekat</w:t>
      </w:r>
      <w:r w:rsidR="000E7409" w:rsidRPr="00C060D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nalazi</w:t>
      </w:r>
      <w:r w:rsidR="000E7409" w:rsidRPr="00C060D3">
        <w:rPr>
          <w:noProof/>
          <w:color w:val="000000"/>
          <w:lang w:val="sr-Latn-CS"/>
        </w:rPr>
        <w:t>.</w:t>
      </w:r>
      <w:r w:rsidR="000E7409" w:rsidRPr="00C060D3">
        <w:rPr>
          <w:noProof/>
          <w:lang w:val="sr-Latn-CS"/>
        </w:rPr>
        <w:t xml:space="preserve"> </w:t>
      </w:r>
    </w:p>
    <w:p w:rsidR="000E7409" w:rsidRPr="00C060D3" w:rsidRDefault="00C060D3" w:rsidP="000E740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Fizičko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započne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ugostiteljskih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dužno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počev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počeo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E7409" w:rsidRPr="00C060D3">
        <w:rPr>
          <w:noProof/>
          <w:lang w:val="sr-Latn-CS"/>
        </w:rPr>
        <w:t>.</w:t>
      </w:r>
    </w:p>
    <w:p w:rsidR="000E7409" w:rsidRPr="00C060D3" w:rsidRDefault="00C060D3" w:rsidP="000E740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Fizičko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E7409" w:rsidRPr="00C060D3">
        <w:rPr>
          <w:noProof/>
          <w:lang w:val="sr-Latn-CS"/>
        </w:rPr>
        <w:t xml:space="preserve"> 5. </w:t>
      </w:r>
      <w:r>
        <w:rPr>
          <w:noProof/>
          <w:lang w:val="sr-Latn-CS"/>
        </w:rPr>
        <w:t>ove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dužno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počev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</w:t>
      </w:r>
      <w:r w:rsidR="000E7409" w:rsidRPr="00C060D3">
        <w:rPr>
          <w:noProof/>
          <w:lang w:val="sr-Latn-CS"/>
        </w:rPr>
        <w:t xml:space="preserve">.   </w:t>
      </w:r>
    </w:p>
    <w:p w:rsidR="000E7409" w:rsidRPr="00C060D3" w:rsidRDefault="00C060D3" w:rsidP="000E740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dođe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7E0BE8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0E7409" w:rsidRPr="00C060D3">
        <w:rPr>
          <w:noProof/>
          <w:lang w:val="sr-Latn-CS"/>
        </w:rPr>
        <w:t xml:space="preserve">  </w:t>
      </w:r>
      <w:r>
        <w:rPr>
          <w:noProof/>
          <w:lang w:val="sr-Latn-CS"/>
        </w:rPr>
        <w:t>visine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novi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počev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došlo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elemenata</w:t>
      </w:r>
      <w:r w:rsidR="000E7409" w:rsidRPr="00C060D3">
        <w:rPr>
          <w:noProof/>
          <w:lang w:val="sr-Latn-CS"/>
        </w:rPr>
        <w:t>.</w:t>
      </w:r>
    </w:p>
    <w:p w:rsidR="000E7409" w:rsidRPr="00C060D3" w:rsidRDefault="00C060D3" w:rsidP="000E740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ugostiteljske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fizičko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dužno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zaključno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kvartal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prestao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0E7409" w:rsidRPr="00C060D3">
        <w:rPr>
          <w:noProof/>
          <w:lang w:val="sr-Latn-CS"/>
        </w:rPr>
        <w:t>.</w:t>
      </w:r>
    </w:p>
    <w:p w:rsidR="000E7409" w:rsidRPr="00C060D3" w:rsidRDefault="00C060D3" w:rsidP="000E7409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  <w:r>
        <w:rPr>
          <w:noProof/>
          <w:lang w:val="sr-Latn-CS" w:eastAsia="en-US"/>
        </w:rPr>
        <w:t>Fizičko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lice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dužno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7E0BE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roku</w:t>
      </w:r>
      <w:r w:rsidR="007E0BE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7E0BE8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sedam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dana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dana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uplate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/>
        </w:rPr>
        <w:t>iznosa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nadležnom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organu</w:t>
      </w:r>
      <w:r w:rsidR="000E7409" w:rsidRPr="00C060D3">
        <w:rPr>
          <w:noProof/>
          <w:lang w:val="sr-Latn-CS" w:eastAsia="en-US"/>
        </w:rPr>
        <w:t>.</w:t>
      </w:r>
    </w:p>
    <w:p w:rsidR="000E7409" w:rsidRPr="00C060D3" w:rsidRDefault="00C060D3" w:rsidP="000E7409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  <w:r>
        <w:rPr>
          <w:noProof/>
          <w:lang w:val="sr-Latn-CS" w:eastAsia="en-US"/>
        </w:rPr>
        <w:t>Fizičko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lice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dužno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periodu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dve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godine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čuva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dokaz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stava</w:t>
      </w:r>
      <w:r w:rsidR="000E7409" w:rsidRPr="00C060D3">
        <w:rPr>
          <w:noProof/>
          <w:lang w:val="sr-Latn-CS" w:eastAsia="en-US"/>
        </w:rPr>
        <w:t xml:space="preserve"> </w:t>
      </w:r>
      <w:r w:rsidR="00814B8C" w:rsidRPr="00C060D3">
        <w:rPr>
          <w:noProof/>
          <w:lang w:val="sr-Latn-CS" w:eastAsia="en-US"/>
        </w:rPr>
        <w:t>7</w:t>
      </w:r>
      <w:r w:rsidR="000E7409" w:rsidRPr="00C060D3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ovog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člana</w:t>
      </w:r>
      <w:r w:rsidR="000E7409" w:rsidRPr="00C060D3">
        <w:rPr>
          <w:noProof/>
          <w:lang w:val="sr-Latn-CS" w:eastAsia="en-US"/>
        </w:rPr>
        <w:t>.</w:t>
      </w:r>
    </w:p>
    <w:p w:rsidR="000E7409" w:rsidRPr="00C060D3" w:rsidRDefault="000E7409" w:rsidP="000E7409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</w:p>
    <w:p w:rsidR="000E7409" w:rsidRPr="00C060D3" w:rsidRDefault="00C060D3" w:rsidP="007E0BE8">
      <w:pPr>
        <w:pStyle w:val="NormalWeb"/>
        <w:spacing w:before="0" w:after="0" w:line="276" w:lineRule="auto"/>
        <w:ind w:left="3600" w:firstLine="369"/>
        <w:textAlignment w:val="baseline"/>
        <w:rPr>
          <w:noProof/>
          <w:shd w:val="clear" w:color="auto" w:fill="FFFFFF"/>
          <w:lang w:val="sr-Latn-CS"/>
        </w:rPr>
      </w:pPr>
      <w:r>
        <w:rPr>
          <w:noProof/>
          <w:shd w:val="clear" w:color="auto" w:fill="FFFFFF"/>
          <w:lang w:val="sr-Latn-CS"/>
        </w:rPr>
        <w:lastRenderedPageBreak/>
        <w:t>Član</w:t>
      </w:r>
      <w:r w:rsidR="000E7409" w:rsidRPr="00C060D3">
        <w:rPr>
          <w:noProof/>
          <w:shd w:val="clear" w:color="auto" w:fill="FFFFFF"/>
          <w:lang w:val="sr-Latn-CS"/>
        </w:rPr>
        <w:t xml:space="preserve"> 7.</w:t>
      </w:r>
    </w:p>
    <w:p w:rsidR="000E7409" w:rsidRPr="00C060D3" w:rsidRDefault="00C060D3" w:rsidP="000E7409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Podaci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kategorisanim</w:t>
      </w:r>
      <w:r w:rsidR="00D0662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turističkim</w:t>
      </w:r>
      <w:r w:rsidR="00D0662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D0662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strani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oznaku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granice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0E7409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razvrstavanju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kategoriju</w:t>
      </w:r>
      <w:r w:rsidR="000E7409" w:rsidRPr="00C060D3">
        <w:rPr>
          <w:noProof/>
          <w:lang w:val="sr-Latn-CS"/>
        </w:rPr>
        <w:t>.</w:t>
      </w:r>
    </w:p>
    <w:p w:rsidR="000E7409" w:rsidRPr="00C060D3" w:rsidRDefault="000E7409" w:rsidP="000E7409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/>
        </w:rPr>
      </w:pPr>
    </w:p>
    <w:p w:rsidR="000E7409" w:rsidRPr="00C060D3" w:rsidRDefault="00C060D3" w:rsidP="007E0BE8">
      <w:pPr>
        <w:pStyle w:val="NormalWeb"/>
        <w:spacing w:before="0" w:after="0" w:line="276" w:lineRule="auto"/>
        <w:ind w:firstLine="142"/>
        <w:jc w:val="center"/>
        <w:textAlignment w:val="baseline"/>
        <w:rPr>
          <w:noProof/>
          <w:shd w:val="clear" w:color="auto" w:fill="FFFFFF"/>
          <w:lang w:val="sr-Latn-CS"/>
        </w:rPr>
      </w:pPr>
      <w:r>
        <w:rPr>
          <w:noProof/>
          <w:shd w:val="clear" w:color="auto" w:fill="FFFFFF"/>
          <w:lang w:val="sr-Latn-CS"/>
        </w:rPr>
        <w:t>Član</w:t>
      </w:r>
      <w:r w:rsidR="000E7409" w:rsidRPr="00C060D3">
        <w:rPr>
          <w:noProof/>
          <w:shd w:val="clear" w:color="auto" w:fill="FFFFFF"/>
          <w:lang w:val="sr-Latn-CS"/>
        </w:rPr>
        <w:t xml:space="preserve"> 8.</w:t>
      </w:r>
    </w:p>
    <w:p w:rsidR="000E7409" w:rsidRPr="00C060D3" w:rsidRDefault="00C060D3" w:rsidP="00D06629">
      <w:pPr>
        <w:pStyle w:val="NormalWeb"/>
        <w:spacing w:before="0" w:after="0" w:line="276" w:lineRule="auto"/>
        <w:ind w:firstLine="720"/>
        <w:jc w:val="both"/>
        <w:textAlignment w:val="baseline"/>
        <w:rPr>
          <w:noProof/>
          <w:lang w:val="sr-Latn-CS" w:eastAsia="en-US"/>
        </w:rPr>
      </w:pP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Nadležni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organ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dužan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je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da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za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svaki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ugostiteljski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objekat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0E740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E7409" w:rsidRPr="00C060D3">
        <w:rPr>
          <w:noProof/>
          <w:lang w:val="sr-Latn-CS"/>
        </w:rPr>
        <w:t xml:space="preserve">,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u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roku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>od</w:t>
      </w:r>
      <w:r w:rsidR="000E7409" w:rsidRPr="00C060D3">
        <w:rPr>
          <w:rStyle w:val="Emphasis"/>
          <w:bCs/>
          <w:i w:val="0"/>
          <w:iCs w:val="0"/>
          <w:noProof/>
          <w:shd w:val="clear" w:color="auto" w:fill="FFFFFF"/>
          <w:lang w:val="sr-Latn-CS"/>
        </w:rPr>
        <w:t xml:space="preserve"> </w:t>
      </w:r>
      <w:r w:rsidR="000E7409" w:rsidRPr="00C060D3">
        <w:rPr>
          <w:noProof/>
          <w:lang w:val="sr-Latn-CS" w:eastAsia="en-US"/>
        </w:rPr>
        <w:t xml:space="preserve">15 </w:t>
      </w:r>
      <w:r>
        <w:rPr>
          <w:noProof/>
          <w:lang w:val="sr-Latn-CS" w:eastAsia="en-US"/>
        </w:rPr>
        <w:t>dana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dana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početka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primene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ove</w:t>
      </w:r>
      <w:r w:rsidR="000E7409" w:rsidRPr="00C060D3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uredbe</w:t>
      </w:r>
      <w:r w:rsidR="000E7409" w:rsidRPr="00C060D3">
        <w:rPr>
          <w:noProof/>
          <w:lang w:val="sr-Latn-CS" w:eastAsia="en-US"/>
        </w:rPr>
        <w:t>.</w:t>
      </w:r>
    </w:p>
    <w:p w:rsidR="000E7409" w:rsidRPr="00C060D3" w:rsidRDefault="000E7409" w:rsidP="000E7409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Latn-CS"/>
        </w:rPr>
      </w:pPr>
    </w:p>
    <w:p w:rsidR="005A694E" w:rsidRPr="00C060D3" w:rsidRDefault="00C060D3" w:rsidP="007E0BE8">
      <w:pPr>
        <w:autoSpaceDE w:val="0"/>
        <w:autoSpaceDN w:val="0"/>
        <w:adjustRightInd w:val="0"/>
        <w:spacing w:line="276" w:lineRule="auto"/>
        <w:ind w:left="3600" w:firstLine="369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A694E" w:rsidRPr="00C060D3">
        <w:rPr>
          <w:noProof/>
          <w:lang w:val="sr-Latn-CS"/>
        </w:rPr>
        <w:t xml:space="preserve"> </w:t>
      </w:r>
      <w:r w:rsidR="000E7409" w:rsidRPr="00C060D3">
        <w:rPr>
          <w:noProof/>
          <w:lang w:val="sr-Latn-CS"/>
        </w:rPr>
        <w:t>9</w:t>
      </w:r>
      <w:r w:rsidR="005A694E" w:rsidRPr="00C060D3">
        <w:rPr>
          <w:noProof/>
          <w:lang w:val="sr-Latn-CS"/>
        </w:rPr>
        <w:t>.</w:t>
      </w:r>
    </w:p>
    <w:p w:rsidR="005A694E" w:rsidRPr="00C060D3" w:rsidRDefault="005A694E" w:rsidP="00EB6AC6">
      <w:pPr>
        <w:spacing w:line="276" w:lineRule="auto"/>
        <w:jc w:val="both"/>
        <w:rPr>
          <w:noProof/>
          <w:lang w:val="sr-Latn-CS"/>
        </w:rPr>
      </w:pPr>
      <w:r w:rsidRPr="00C060D3">
        <w:rPr>
          <w:noProof/>
          <w:lang w:val="sr-Latn-CS"/>
        </w:rPr>
        <w:tab/>
      </w:r>
      <w:r w:rsidR="00C060D3">
        <w:rPr>
          <w:noProof/>
          <w:lang w:val="sr-Latn-CS"/>
        </w:rPr>
        <w:t>Ova</w:t>
      </w:r>
      <w:r w:rsidR="00F010CD" w:rsidRPr="00C060D3">
        <w:rPr>
          <w:noProof/>
          <w:lang w:val="sr-Latn-CS"/>
        </w:rPr>
        <w:t xml:space="preserve"> 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uredba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stupa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na</w:t>
      </w:r>
      <w:r w:rsidRPr="00C060D3">
        <w:rPr>
          <w:noProof/>
          <w:lang w:val="sr-Latn-CS"/>
        </w:rPr>
        <w:t xml:space="preserve"> </w:t>
      </w:r>
      <w:r w:rsidR="00C060D3">
        <w:rPr>
          <w:noProof/>
          <w:lang w:val="sr-Latn-CS"/>
        </w:rPr>
        <w:t>snagu</w:t>
      </w:r>
      <w:r w:rsidR="000E7409" w:rsidRPr="00C060D3">
        <w:rPr>
          <w:noProof/>
          <w:lang w:val="sr-Latn-CS"/>
        </w:rPr>
        <w:t xml:space="preserve"> </w:t>
      </w:r>
      <w:r w:rsidRPr="00C060D3">
        <w:rPr>
          <w:noProof/>
          <w:lang w:val="sr-Latn-CS"/>
        </w:rPr>
        <w:t xml:space="preserve">1. </w:t>
      </w:r>
      <w:r w:rsidR="00C060D3">
        <w:rPr>
          <w:noProof/>
          <w:lang w:val="sr-Latn-CS"/>
        </w:rPr>
        <w:t>jula</w:t>
      </w:r>
      <w:r w:rsidRPr="00C060D3">
        <w:rPr>
          <w:noProof/>
          <w:lang w:val="sr-Latn-CS"/>
        </w:rPr>
        <w:t xml:space="preserve"> 2019. </w:t>
      </w:r>
      <w:r w:rsidR="00C060D3">
        <w:rPr>
          <w:noProof/>
          <w:lang w:val="sr-Latn-CS"/>
        </w:rPr>
        <w:t>godine</w:t>
      </w:r>
      <w:r w:rsidRPr="00C060D3">
        <w:rPr>
          <w:noProof/>
          <w:lang w:val="sr-Latn-CS"/>
        </w:rPr>
        <w:t>.</w:t>
      </w:r>
    </w:p>
    <w:p w:rsidR="00D06629" w:rsidRPr="00C060D3" w:rsidRDefault="00D06629" w:rsidP="00EB6AC6">
      <w:pPr>
        <w:spacing w:line="276" w:lineRule="auto"/>
        <w:jc w:val="both"/>
        <w:rPr>
          <w:noProof/>
          <w:lang w:val="sr-Latn-CS"/>
        </w:rPr>
      </w:pPr>
    </w:p>
    <w:p w:rsidR="004D5679" w:rsidRPr="00C060D3" w:rsidRDefault="004D5679" w:rsidP="00EB6AC6">
      <w:pPr>
        <w:spacing w:line="276" w:lineRule="auto"/>
        <w:jc w:val="both"/>
        <w:rPr>
          <w:noProof/>
          <w:lang w:val="sr-Latn-CS"/>
        </w:rPr>
      </w:pPr>
    </w:p>
    <w:p w:rsidR="004D5679" w:rsidRPr="00C060D3" w:rsidRDefault="004D5679" w:rsidP="00EB6AC6">
      <w:pPr>
        <w:spacing w:line="276" w:lineRule="auto"/>
        <w:rPr>
          <w:noProof/>
          <w:lang w:val="sr-Latn-CS"/>
        </w:rPr>
      </w:pPr>
      <w:r w:rsidRPr="00C060D3">
        <w:rPr>
          <w:noProof/>
          <w:lang w:val="sr-Latn-CS"/>
        </w:rPr>
        <w:t xml:space="preserve">05 </w:t>
      </w:r>
      <w:r w:rsidR="00C060D3">
        <w:rPr>
          <w:noProof/>
          <w:lang w:val="sr-Latn-CS"/>
        </w:rPr>
        <w:t>Broj</w:t>
      </w:r>
      <w:r w:rsidRPr="00C060D3">
        <w:rPr>
          <w:noProof/>
          <w:lang w:val="sr-Latn-CS"/>
        </w:rPr>
        <w:t>:</w:t>
      </w:r>
      <w:r w:rsidR="00627171" w:rsidRPr="00C060D3">
        <w:rPr>
          <w:noProof/>
          <w:lang w:val="sr-Latn-CS"/>
        </w:rPr>
        <w:t xml:space="preserve"> </w:t>
      </w:r>
      <w:r w:rsidR="00366505" w:rsidRPr="00C060D3">
        <w:rPr>
          <w:noProof/>
          <w:lang w:val="sr-Latn-CS"/>
        </w:rPr>
        <w:t>110-</w:t>
      </w:r>
      <w:r w:rsidR="004D7357" w:rsidRPr="00C060D3">
        <w:rPr>
          <w:noProof/>
          <w:lang w:val="sr-Latn-CS"/>
        </w:rPr>
        <w:t>6264/2019-1</w:t>
      </w:r>
    </w:p>
    <w:p w:rsidR="004D5679" w:rsidRPr="00C060D3" w:rsidRDefault="00C060D3" w:rsidP="00EB6AC6">
      <w:pPr>
        <w:spacing w:line="276" w:lineRule="auto"/>
        <w:rPr>
          <w:noProof/>
          <w:lang w:val="sr-Latn-CS"/>
        </w:rPr>
      </w:pPr>
      <w:r>
        <w:rPr>
          <w:noProof/>
          <w:lang w:val="sr-Latn-CS"/>
        </w:rPr>
        <w:t>U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D5679" w:rsidRPr="00C060D3">
        <w:rPr>
          <w:noProof/>
          <w:lang w:val="sr-Latn-CS"/>
        </w:rPr>
        <w:t xml:space="preserve">, </w:t>
      </w:r>
      <w:r w:rsidR="00366505" w:rsidRPr="00C060D3">
        <w:rPr>
          <w:noProof/>
          <w:lang w:val="sr-Latn-CS"/>
        </w:rPr>
        <w:t xml:space="preserve">27. </w:t>
      </w:r>
      <w:r>
        <w:rPr>
          <w:noProof/>
          <w:lang w:val="sr-Latn-CS"/>
        </w:rPr>
        <w:t>juna</w:t>
      </w:r>
      <w:r w:rsidR="00366505" w:rsidRPr="00C060D3">
        <w:rPr>
          <w:noProof/>
          <w:lang w:val="sr-Latn-CS"/>
        </w:rPr>
        <w:t xml:space="preserve"> 2019. </w:t>
      </w:r>
      <w:r>
        <w:rPr>
          <w:noProof/>
          <w:lang w:val="sr-Latn-CS"/>
        </w:rPr>
        <w:t>godine</w:t>
      </w:r>
    </w:p>
    <w:p w:rsidR="00537BDB" w:rsidRPr="00C060D3" w:rsidRDefault="00537BDB" w:rsidP="00EB6AC6">
      <w:pPr>
        <w:spacing w:line="276" w:lineRule="auto"/>
        <w:rPr>
          <w:noProof/>
          <w:lang w:val="sr-Latn-CS"/>
        </w:rPr>
      </w:pPr>
    </w:p>
    <w:p w:rsidR="004D5679" w:rsidRPr="00C060D3" w:rsidRDefault="00C060D3" w:rsidP="00EB6AC6">
      <w:pPr>
        <w:spacing w:line="276" w:lineRule="auto"/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4D5679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537BDB" w:rsidRPr="00C060D3" w:rsidRDefault="00537BDB" w:rsidP="00EB6AC6">
      <w:pPr>
        <w:spacing w:line="276" w:lineRule="auto"/>
        <w:jc w:val="right"/>
        <w:rPr>
          <w:noProof/>
          <w:lang w:val="sr-Latn-CS"/>
        </w:rPr>
      </w:pPr>
    </w:p>
    <w:p w:rsidR="00537BDB" w:rsidRPr="00C060D3" w:rsidRDefault="00537BDB" w:rsidP="00EB6AC6">
      <w:pPr>
        <w:spacing w:line="276" w:lineRule="auto"/>
        <w:jc w:val="right"/>
        <w:rPr>
          <w:noProof/>
          <w:lang w:val="sr-Latn-CS"/>
        </w:rPr>
      </w:pPr>
    </w:p>
    <w:p w:rsidR="00D72302" w:rsidRPr="00C060D3" w:rsidRDefault="00537BDB" w:rsidP="00537BDB">
      <w:pPr>
        <w:spacing w:line="276" w:lineRule="auto"/>
        <w:jc w:val="center"/>
        <w:rPr>
          <w:noProof/>
          <w:lang w:val="sr-Latn-CS"/>
        </w:rPr>
      </w:pPr>
      <w:r w:rsidRPr="00C060D3">
        <w:rPr>
          <w:noProof/>
          <w:lang w:val="sr-Latn-CS"/>
        </w:rPr>
        <w:t xml:space="preserve">                                                                                                           </w:t>
      </w:r>
      <w:r w:rsidR="00C060D3">
        <w:rPr>
          <w:noProof/>
          <w:lang w:val="sr-Latn-CS"/>
        </w:rPr>
        <w:t>PREDSEDNIK</w:t>
      </w:r>
    </w:p>
    <w:p w:rsidR="00366505" w:rsidRPr="00C060D3" w:rsidRDefault="00366505" w:rsidP="00EB6AC6">
      <w:pPr>
        <w:spacing w:line="276" w:lineRule="auto"/>
        <w:jc w:val="right"/>
        <w:rPr>
          <w:noProof/>
          <w:lang w:val="sr-Latn-CS"/>
        </w:rPr>
      </w:pPr>
    </w:p>
    <w:p w:rsidR="00366505" w:rsidRPr="00C060D3" w:rsidRDefault="00C060D3" w:rsidP="00EB6AC6">
      <w:pPr>
        <w:spacing w:line="276" w:lineRule="auto"/>
        <w:jc w:val="right"/>
        <w:rPr>
          <w:noProof/>
          <w:lang w:val="sr-Latn-CS"/>
        </w:rPr>
      </w:pPr>
      <w:r>
        <w:rPr>
          <w:noProof/>
          <w:lang w:val="sr-Latn-CS"/>
        </w:rPr>
        <w:t>Ana</w:t>
      </w:r>
      <w:r w:rsidR="00537BDB" w:rsidRPr="00C060D3">
        <w:rPr>
          <w:noProof/>
          <w:lang w:val="sr-Latn-CS"/>
        </w:rPr>
        <w:t xml:space="preserve"> </w:t>
      </w:r>
      <w:r>
        <w:rPr>
          <w:noProof/>
          <w:lang w:val="sr-Latn-CS"/>
        </w:rPr>
        <w:t>Brnabić</w:t>
      </w:r>
      <w:r w:rsidR="00537BDB" w:rsidRPr="00C060D3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537BDB" w:rsidRPr="00C060D3">
        <w:rPr>
          <w:noProof/>
          <w:lang w:val="sr-Latn-CS"/>
        </w:rPr>
        <w:t>.</w:t>
      </w:r>
      <w:r>
        <w:rPr>
          <w:noProof/>
          <w:lang w:val="sr-Latn-CS"/>
        </w:rPr>
        <w:t>r</w:t>
      </w:r>
      <w:r w:rsidR="00537BDB" w:rsidRPr="00C060D3">
        <w:rPr>
          <w:noProof/>
          <w:lang w:val="sr-Latn-CS"/>
        </w:rPr>
        <w:t>.</w:t>
      </w:r>
    </w:p>
    <w:p w:rsidR="00895CF2" w:rsidRPr="00C060D3" w:rsidRDefault="00895CF2" w:rsidP="00EB6AC6">
      <w:pPr>
        <w:spacing w:line="276" w:lineRule="auto"/>
        <w:jc w:val="center"/>
        <w:rPr>
          <w:b/>
          <w:noProof/>
          <w:lang w:val="sr-Latn-CS"/>
        </w:rPr>
      </w:pPr>
    </w:p>
    <w:p w:rsidR="008F395D" w:rsidRPr="00C060D3" w:rsidRDefault="008F395D" w:rsidP="00EB6AC6">
      <w:pPr>
        <w:spacing w:line="276" w:lineRule="auto"/>
        <w:ind w:firstLine="720"/>
        <w:rPr>
          <w:bCs/>
          <w:noProof/>
          <w:lang w:val="sr-Latn-CS"/>
        </w:rPr>
      </w:pPr>
    </w:p>
    <w:sectPr w:rsidR="008F395D" w:rsidRPr="00C060D3" w:rsidSect="007E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E6" w:rsidRDefault="00897FE6" w:rsidP="007E0BE8">
      <w:r>
        <w:separator/>
      </w:r>
    </w:p>
  </w:endnote>
  <w:endnote w:type="continuationSeparator" w:id="0">
    <w:p w:rsidR="00897FE6" w:rsidRDefault="00897FE6" w:rsidP="007E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E6" w:rsidRDefault="00897FE6" w:rsidP="007E0BE8">
      <w:r>
        <w:separator/>
      </w:r>
    </w:p>
  </w:footnote>
  <w:footnote w:type="continuationSeparator" w:id="0">
    <w:p w:rsidR="00897FE6" w:rsidRDefault="00897FE6" w:rsidP="007E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1080020538"/>
      <w:docPartObj>
        <w:docPartGallery w:val="Page Numbers (Top of Page)"/>
        <w:docPartUnique/>
      </w:docPartObj>
    </w:sdtPr>
    <w:sdtEndPr/>
    <w:sdtContent>
      <w:p w:rsidR="007E0BE8" w:rsidRPr="00C060D3" w:rsidRDefault="007E0BE8">
        <w:pPr>
          <w:pStyle w:val="Header"/>
          <w:jc w:val="center"/>
          <w:rPr>
            <w:noProof/>
            <w:lang w:val="sr-Latn-CS"/>
          </w:rPr>
        </w:pPr>
        <w:r w:rsidRPr="00C060D3">
          <w:rPr>
            <w:noProof/>
            <w:lang w:val="sr-Latn-CS"/>
          </w:rPr>
          <w:fldChar w:fldCharType="begin"/>
        </w:r>
        <w:r w:rsidRPr="00C060D3">
          <w:rPr>
            <w:noProof/>
            <w:lang w:val="sr-Latn-CS"/>
          </w:rPr>
          <w:instrText xml:space="preserve"> PAGE   \* MERGEFORMAT </w:instrText>
        </w:r>
        <w:r w:rsidRPr="00C060D3">
          <w:rPr>
            <w:noProof/>
            <w:lang w:val="sr-Latn-CS"/>
          </w:rPr>
          <w:fldChar w:fldCharType="separate"/>
        </w:r>
        <w:r w:rsidR="00C060D3">
          <w:rPr>
            <w:noProof/>
            <w:lang w:val="sr-Latn-CS"/>
          </w:rPr>
          <w:t>3</w:t>
        </w:r>
        <w:r w:rsidRPr="00C060D3">
          <w:rPr>
            <w:noProof/>
            <w:lang w:val="sr-Latn-CS"/>
          </w:rPr>
          <w:fldChar w:fldCharType="end"/>
        </w:r>
      </w:p>
    </w:sdtContent>
  </w:sdt>
  <w:p w:rsidR="007E0BE8" w:rsidRPr="00C060D3" w:rsidRDefault="007E0BE8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D3" w:rsidRDefault="00C06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DB6"/>
    <w:multiLevelType w:val="hybridMultilevel"/>
    <w:tmpl w:val="FE9EBB44"/>
    <w:lvl w:ilvl="0" w:tplc="EC646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1795B"/>
    <w:multiLevelType w:val="hybridMultilevel"/>
    <w:tmpl w:val="6B16C824"/>
    <w:lvl w:ilvl="0" w:tplc="FCC26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2C"/>
    <w:rsid w:val="00031942"/>
    <w:rsid w:val="00060964"/>
    <w:rsid w:val="000C5227"/>
    <w:rsid w:val="000E2991"/>
    <w:rsid w:val="000E7409"/>
    <w:rsid w:val="00105D4A"/>
    <w:rsid w:val="001A2502"/>
    <w:rsid w:val="001B5AA5"/>
    <w:rsid w:val="001C09CF"/>
    <w:rsid w:val="001E1678"/>
    <w:rsid w:val="001E503D"/>
    <w:rsid w:val="001E580B"/>
    <w:rsid w:val="00226470"/>
    <w:rsid w:val="0023293B"/>
    <w:rsid w:val="0023596D"/>
    <w:rsid w:val="00237D6F"/>
    <w:rsid w:val="0024558D"/>
    <w:rsid w:val="00253611"/>
    <w:rsid w:val="00277C92"/>
    <w:rsid w:val="002A2593"/>
    <w:rsid w:val="002F011E"/>
    <w:rsid w:val="00301425"/>
    <w:rsid w:val="003330A7"/>
    <w:rsid w:val="003476AE"/>
    <w:rsid w:val="00366505"/>
    <w:rsid w:val="003961A3"/>
    <w:rsid w:val="003A18E8"/>
    <w:rsid w:val="004161C9"/>
    <w:rsid w:val="004544DA"/>
    <w:rsid w:val="00462256"/>
    <w:rsid w:val="004D48E4"/>
    <w:rsid w:val="004D5679"/>
    <w:rsid w:val="004D7357"/>
    <w:rsid w:val="004E2B0F"/>
    <w:rsid w:val="00517202"/>
    <w:rsid w:val="00525290"/>
    <w:rsid w:val="005340EC"/>
    <w:rsid w:val="00537BDB"/>
    <w:rsid w:val="005467B3"/>
    <w:rsid w:val="00551B3C"/>
    <w:rsid w:val="0055242C"/>
    <w:rsid w:val="005A694E"/>
    <w:rsid w:val="005B1C38"/>
    <w:rsid w:val="00601C66"/>
    <w:rsid w:val="00624BAA"/>
    <w:rsid w:val="0062507F"/>
    <w:rsid w:val="00627171"/>
    <w:rsid w:val="0063021D"/>
    <w:rsid w:val="0064573F"/>
    <w:rsid w:val="006678C5"/>
    <w:rsid w:val="00682B9A"/>
    <w:rsid w:val="006C1EF4"/>
    <w:rsid w:val="006F026D"/>
    <w:rsid w:val="007163EB"/>
    <w:rsid w:val="00717FBC"/>
    <w:rsid w:val="007806BF"/>
    <w:rsid w:val="007B1A93"/>
    <w:rsid w:val="007E0BE8"/>
    <w:rsid w:val="00814B8C"/>
    <w:rsid w:val="0082598D"/>
    <w:rsid w:val="00841CBC"/>
    <w:rsid w:val="00850ED5"/>
    <w:rsid w:val="00862797"/>
    <w:rsid w:val="008729CC"/>
    <w:rsid w:val="00890241"/>
    <w:rsid w:val="00895CF2"/>
    <w:rsid w:val="00897FE3"/>
    <w:rsid w:val="00897FE6"/>
    <w:rsid w:val="008A4A29"/>
    <w:rsid w:val="008B0B82"/>
    <w:rsid w:val="008F395D"/>
    <w:rsid w:val="00903E22"/>
    <w:rsid w:val="0093230A"/>
    <w:rsid w:val="009551D7"/>
    <w:rsid w:val="009D033F"/>
    <w:rsid w:val="009D092F"/>
    <w:rsid w:val="009E1D48"/>
    <w:rsid w:val="009F1AB4"/>
    <w:rsid w:val="00A0709A"/>
    <w:rsid w:val="00A121B8"/>
    <w:rsid w:val="00A35F71"/>
    <w:rsid w:val="00A47E77"/>
    <w:rsid w:val="00A507BE"/>
    <w:rsid w:val="00AC15CD"/>
    <w:rsid w:val="00AE1F68"/>
    <w:rsid w:val="00AE6C2C"/>
    <w:rsid w:val="00B44D1D"/>
    <w:rsid w:val="00B560C7"/>
    <w:rsid w:val="00B802EC"/>
    <w:rsid w:val="00B8728B"/>
    <w:rsid w:val="00BE6C44"/>
    <w:rsid w:val="00BF646F"/>
    <w:rsid w:val="00C060D3"/>
    <w:rsid w:val="00C406FF"/>
    <w:rsid w:val="00C804FC"/>
    <w:rsid w:val="00C920FF"/>
    <w:rsid w:val="00C94384"/>
    <w:rsid w:val="00CC6759"/>
    <w:rsid w:val="00CD12D3"/>
    <w:rsid w:val="00D06629"/>
    <w:rsid w:val="00D72302"/>
    <w:rsid w:val="00DA1191"/>
    <w:rsid w:val="00DA535A"/>
    <w:rsid w:val="00DB373F"/>
    <w:rsid w:val="00DB42DC"/>
    <w:rsid w:val="00DD4225"/>
    <w:rsid w:val="00E702F5"/>
    <w:rsid w:val="00E73236"/>
    <w:rsid w:val="00E85FCA"/>
    <w:rsid w:val="00E95647"/>
    <w:rsid w:val="00EB6AC6"/>
    <w:rsid w:val="00EC67ED"/>
    <w:rsid w:val="00ED1B8B"/>
    <w:rsid w:val="00EE4DD1"/>
    <w:rsid w:val="00F010CD"/>
    <w:rsid w:val="00F1665E"/>
    <w:rsid w:val="00F46425"/>
    <w:rsid w:val="00F60FF3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0D4CA-B79D-4FE4-B69C-1C16647B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D567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4D5679"/>
    <w:pPr>
      <w:spacing w:before="48" w:after="48"/>
    </w:pPr>
    <w:rPr>
      <w:lang w:val="en-GB" w:eastAsia="en-GB"/>
    </w:rPr>
  </w:style>
  <w:style w:type="paragraph" w:customStyle="1" w:styleId="text-center">
    <w:name w:val="text-center"/>
    <w:basedOn w:val="Normal"/>
    <w:rsid w:val="00CD12D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77C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6F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1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EF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1EF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09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 Grgic</cp:lastModifiedBy>
  <cp:revision>2</cp:revision>
  <cp:lastPrinted>2019-06-27T09:58:00Z</cp:lastPrinted>
  <dcterms:created xsi:type="dcterms:W3CDTF">2019-06-28T17:07:00Z</dcterms:created>
  <dcterms:modified xsi:type="dcterms:W3CDTF">2019-06-28T17:07:00Z</dcterms:modified>
</cp:coreProperties>
</file>